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2"/>
        <w:spacing w:before="120" w:after="360"/>
        <w:rPr>
          <w:b w:val="false"/>
          <w:b w:val="false"/>
        </w:rPr>
      </w:pPr>
      <w:r>
        <w:rPr>
          <w:b w:val="false"/>
        </w:rPr>
        <w:t>ПАСПОРТ</w:t>
      </w:r>
    </w:p>
    <w:p>
      <w:pPr>
        <w:pStyle w:val="3"/>
        <w:rPr>
          <w:b w:val="false"/>
          <w:b w:val="false"/>
        </w:rPr>
      </w:pPr>
      <w:r>
        <w:rPr>
          <w:b w:val="false"/>
        </w:rPr>
        <w:t>муниципальной программы Аргаяшского  муниципального района</w:t>
      </w:r>
    </w:p>
    <w:p>
      <w:pPr>
        <w:pStyle w:val="3"/>
        <w:rPr>
          <w:b w:val="false"/>
          <w:b w:val="false"/>
        </w:rPr>
      </w:pPr>
      <w:r>
        <w:rPr>
          <w:b w:val="false"/>
        </w:rPr>
        <w:t>«Развитие жилищно-коммунального хозяйства, инфраструктуры и экологические мероприятия Аргаяшского муниципального района»</w:t>
      </w:r>
    </w:p>
    <w:tbl>
      <w:tblPr>
        <w:tblW w:w="9694" w:type="dxa"/>
        <w:jc w:val="left"/>
        <w:tblInd w:w="0" w:type="dxa"/>
        <w:tblCellMar>
          <w:top w:w="0" w:type="dxa"/>
          <w:left w:w="170" w:type="dxa"/>
          <w:bottom w:w="0" w:type="dxa"/>
          <w:right w:w="170" w:type="dxa"/>
        </w:tblCellMar>
        <w:tblLook w:val="01e0"/>
      </w:tblPr>
      <w:tblGrid>
        <w:gridCol w:w="3237"/>
        <w:gridCol w:w="6456"/>
      </w:tblGrid>
      <w:tr>
        <w:trPr/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  <w:t>Ответственный исполнитель Муниципальной программы</w:t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  <w:t>Администрация Аргаяшского муниципального района (Отдел строительства, инженерной инфраструктуры и ЖКХ</w:t>
            </w:r>
            <w:r>
              <w:rPr>
                <w:lang w:val="uk-UA"/>
              </w:rPr>
              <w:t xml:space="preserve"> </w:t>
            </w:r>
            <w:r>
              <w:rPr/>
              <w:t xml:space="preserve">Управления строительства, инженерной инфраструктуры, дорожного хозяйства и транспорта </w:t>
            </w:r>
            <w:r>
              <w:rPr>
                <w:lang w:val="uk-UA"/>
              </w:rPr>
              <w:t xml:space="preserve"> а</w:t>
            </w:r>
            <w:r>
              <w:rPr/>
              <w:t>администрации Аргаяшского муниципального района)</w:t>
            </w:r>
          </w:p>
        </w:tc>
      </w:tr>
      <w:tr>
        <w:trPr/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  <w:t>Соисполнители Муниципальной программы</w:t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  <w:t>Комитет по управлению имуществом Аргаяшского района</w:t>
            </w:r>
          </w:p>
        </w:tc>
      </w:tr>
      <w:tr>
        <w:trPr/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  <w:t>Участники Муниципальной программы</w:t>
            </w:r>
          </w:p>
          <w:p>
            <w:pPr>
              <w:pStyle w:val="Style17"/>
              <w:rPr/>
            </w:pPr>
            <w:r>
              <w:rPr/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  <w:t xml:space="preserve">Администрация Аргаяшского муниципального района администрация Аргаяшского сельского поселения, </w:t>
            </w:r>
          </w:p>
          <w:p>
            <w:pPr>
              <w:pStyle w:val="Style17"/>
              <w:rPr/>
            </w:pPr>
            <w:r>
              <w:rPr/>
              <w:t xml:space="preserve">администрация Акбашевского сельского поселения, </w:t>
            </w:r>
          </w:p>
          <w:p>
            <w:pPr>
              <w:pStyle w:val="Style17"/>
              <w:rPr/>
            </w:pPr>
            <w:r>
              <w:rPr/>
              <w:t>администрация Аязгуловского сельского поселения,</w:t>
            </w:r>
          </w:p>
          <w:p>
            <w:pPr>
              <w:pStyle w:val="Style17"/>
              <w:rPr/>
            </w:pPr>
            <w:r>
              <w:rPr/>
              <w:t xml:space="preserve">администрация Байрамгуловского сельского поселения, </w:t>
            </w:r>
          </w:p>
          <w:p>
            <w:pPr>
              <w:pStyle w:val="Style17"/>
              <w:rPr/>
            </w:pPr>
            <w:r>
              <w:rPr/>
              <w:t>администрация Дербишевского сельского поселения,</w:t>
            </w:r>
          </w:p>
          <w:p>
            <w:pPr>
              <w:pStyle w:val="Style17"/>
              <w:rPr/>
            </w:pPr>
            <w:r>
              <w:rPr/>
              <w:t xml:space="preserve">администрация Ишалинского сельского поселения, </w:t>
            </w:r>
          </w:p>
          <w:p>
            <w:pPr>
              <w:pStyle w:val="Style17"/>
              <w:rPr/>
            </w:pPr>
            <w:r>
              <w:rPr/>
              <w:t xml:space="preserve">администрация Камышевского сельского поселения, </w:t>
            </w:r>
          </w:p>
          <w:p>
            <w:pPr>
              <w:pStyle w:val="Style17"/>
              <w:rPr/>
            </w:pPr>
            <w:r>
              <w:rPr/>
              <w:t xml:space="preserve">администрация Кузнецкого сельского поселения, </w:t>
            </w:r>
          </w:p>
          <w:p>
            <w:pPr>
              <w:pStyle w:val="Style17"/>
              <w:rPr/>
            </w:pPr>
            <w:r>
              <w:rPr/>
              <w:t>администрация Кулуевского сельского поселения,</w:t>
            </w:r>
          </w:p>
          <w:p>
            <w:pPr>
              <w:pStyle w:val="Style17"/>
              <w:rPr/>
            </w:pPr>
            <w:r>
              <w:rPr/>
              <w:t xml:space="preserve">администрация Норкинского сельского поселения, </w:t>
            </w:r>
          </w:p>
          <w:p>
            <w:pPr>
              <w:pStyle w:val="Style17"/>
              <w:rPr/>
            </w:pPr>
            <w:r>
              <w:rPr/>
              <w:t xml:space="preserve">администрация Худайбердинского сельского поселения, </w:t>
            </w:r>
          </w:p>
          <w:p>
            <w:pPr>
              <w:pStyle w:val="Style17"/>
              <w:rPr/>
            </w:pPr>
            <w:r>
              <w:rPr/>
              <w:t xml:space="preserve">администрация Яраткуловского сельского поселения </w:t>
            </w:r>
          </w:p>
          <w:p>
            <w:pPr>
              <w:pStyle w:val="Style17"/>
              <w:rPr/>
            </w:pPr>
            <w:r>
              <w:rPr/>
              <w:t xml:space="preserve">(далее – органы местного самоуправления) (по согласованию), муниципальные учреждения ЖКХ, предприятия и организации коммунального комплекса. </w:t>
            </w:r>
          </w:p>
        </w:tc>
      </w:tr>
      <w:tr>
        <w:trPr>
          <w:trHeight w:val="288" w:hRule="atLeast"/>
        </w:trPr>
        <w:tc>
          <w:tcPr>
            <w:tcW w:w="3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  <w:t>Подпрограммы Муниципальной программы</w:t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  <w:t>1.Подпрограмма «Чистая вода»</w:t>
            </w:r>
          </w:p>
        </w:tc>
      </w:tr>
      <w:tr>
        <w:trPr>
          <w:trHeight w:val="538" w:hRule="atLeast"/>
        </w:trPr>
        <w:tc>
          <w:tcPr>
            <w:tcW w:w="32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  <w:t>2.Подпрограмма «Модернизация объектов коммунальной инфраструктуры»</w:t>
            </w:r>
          </w:p>
        </w:tc>
      </w:tr>
      <w:tr>
        <w:trPr/>
        <w:tc>
          <w:tcPr>
            <w:tcW w:w="32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  <w:t>3.Подпрограмма «Природоохранные мероприятия, оздоровление экологической обстановки в Аргаяшском муниципальном районе»</w:t>
            </w:r>
          </w:p>
        </w:tc>
      </w:tr>
      <w:tr>
        <w:trPr/>
        <w:tc>
          <w:tcPr>
            <w:tcW w:w="32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  <w:t>4.Подпрограмма «Переселение граждан из аварийного жилищного фонда»</w:t>
            </w:r>
          </w:p>
        </w:tc>
      </w:tr>
      <w:tr>
        <w:trPr>
          <w:trHeight w:val="313" w:hRule="atLeast"/>
        </w:trPr>
        <w:tc>
          <w:tcPr>
            <w:tcW w:w="32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  <w:t>5.Подпрограмма «Обеспечение жильем молодых семей»</w:t>
            </w:r>
          </w:p>
        </w:tc>
      </w:tr>
      <w:tr>
        <w:trPr>
          <w:trHeight w:val="513" w:hRule="atLeast"/>
        </w:trPr>
        <w:tc>
          <w:tcPr>
            <w:tcW w:w="32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  <w:t>6.Подпрограмма «Мероприятия по переселению граждан из жилищного фонда, признанного непригодным для проживания в Аргаяшском муниципальном районе».</w:t>
            </w:r>
          </w:p>
        </w:tc>
      </w:tr>
      <w:tr>
        <w:trPr/>
        <w:tc>
          <w:tcPr>
            <w:tcW w:w="32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  <w:t xml:space="preserve">7.Подпрограмма «Организация деятельности предприятий ЖКХ» </w:t>
            </w:r>
          </w:p>
        </w:tc>
      </w:tr>
      <w:tr>
        <w:trPr/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  <w:t>Цели Муниципальной программы</w:t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  <w:t>Создание условий для повышения уровня жизни населения Аргаяшского муниципального района;</w:t>
            </w:r>
          </w:p>
        </w:tc>
      </w:tr>
      <w:tr>
        <w:trPr/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  <w:t>Задачи Муниципальной программы</w:t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  <w:t>1. Предоставление населению качественного водоснабжения и водоотведения;</w:t>
            </w:r>
          </w:p>
          <w:p>
            <w:pPr>
              <w:pStyle w:val="Style17"/>
              <w:rPr/>
            </w:pPr>
            <w:r>
              <w:rPr/>
              <w:t>2. Замена морально устаревшего и физически изношенного оборудования, а также обеспечение возможности подключения  к существующим коммунальным сетям тепло-, водо-, газоснабжения новых потребителей;</w:t>
            </w:r>
          </w:p>
          <w:p>
            <w:pPr>
              <w:pStyle w:val="Style17"/>
              <w:rPr/>
            </w:pPr>
            <w:r>
              <w:rPr/>
              <w:t>3. Повышение уровня благоустройства и улучшение экологической обстановки в районе;</w:t>
            </w:r>
          </w:p>
          <w:p>
            <w:pPr>
              <w:pStyle w:val="Style17"/>
              <w:rPr/>
            </w:pPr>
            <w:r>
              <w:rPr/>
              <w:t>4. Снижение объема аварийного жилищного фонда;</w:t>
            </w:r>
          </w:p>
          <w:p>
            <w:pPr>
              <w:pStyle w:val="Style17"/>
              <w:rPr>
                <w:rFonts w:eastAsia="Calibri"/>
              </w:rPr>
            </w:pPr>
            <w:r>
              <w:rPr/>
              <w:t xml:space="preserve">5. </w:t>
            </w:r>
            <w:r>
              <w:rPr>
                <w:rFonts w:eastAsia="Calibri"/>
              </w:rPr>
              <w:t>Государственная поддержка в решении жилищной проблемы молодых семей, признанных в установленном порядке нуждающимися в улучшении жилищных условий;</w:t>
            </w:r>
          </w:p>
          <w:p>
            <w:pPr>
              <w:pStyle w:val="Style17"/>
              <w:rPr/>
            </w:pPr>
            <w:r>
              <w:rPr/>
              <w:t>6. Строительство (приобретение) жилых помещений (квартир) для осуществления мероприятий по переселению граждан из жилищного фонда, признанного непригодным для проживания;</w:t>
            </w:r>
          </w:p>
          <w:p>
            <w:pPr>
              <w:pStyle w:val="Style17"/>
              <w:rPr/>
            </w:pPr>
            <w:r>
              <w:rPr/>
              <w:t>7. Поддержка организаций коммунального комплекса.</w:t>
            </w:r>
          </w:p>
        </w:tc>
      </w:tr>
      <w:tr>
        <w:trPr/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  <w:t>Целевые индикаторы и показатели Муниципальной программы</w:t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  <w:t xml:space="preserve">Повышение уровня обеспеченности сельского населения питьевой водой до </w:t>
            </w:r>
          </w:p>
          <w:p>
            <w:pPr>
              <w:pStyle w:val="Style17"/>
              <w:rPr/>
            </w:pPr>
            <w:r>
              <w:rPr/>
              <w:t xml:space="preserve">                   </w:t>
            </w:r>
            <w:r>
              <w:rPr/>
              <w:t>- 2024 – 93 %,</w:t>
            </w:r>
          </w:p>
          <w:p>
            <w:pPr>
              <w:pStyle w:val="Style17"/>
              <w:rPr/>
            </w:pPr>
            <w:r>
              <w:rPr/>
              <w:t xml:space="preserve">                   </w:t>
            </w:r>
            <w:r>
              <w:rPr/>
              <w:t>- 2025 – 94 %;</w:t>
            </w:r>
          </w:p>
          <w:p>
            <w:pPr>
              <w:pStyle w:val="Style17"/>
              <w:rPr/>
            </w:pPr>
            <w:r>
              <w:rPr/>
              <w:t xml:space="preserve">                   </w:t>
            </w:r>
            <w:r>
              <w:rPr/>
              <w:t>- 2026 -  95 %</w:t>
            </w:r>
          </w:p>
          <w:p>
            <w:pPr>
              <w:pStyle w:val="Style17"/>
              <w:rPr/>
            </w:pPr>
            <w:r>
              <w:rPr/>
              <w:t xml:space="preserve">Строительство, реконструкция и ремонт объектов коммунальной инфраструктуры </w:t>
            </w:r>
          </w:p>
          <w:p>
            <w:pPr>
              <w:pStyle w:val="Style17"/>
              <w:rPr/>
            </w:pPr>
            <w:r>
              <w:rPr/>
              <w:t xml:space="preserve">              </w:t>
            </w:r>
            <w:r>
              <w:rPr/>
              <w:t>- 2024 - 28 мероприятий,</w:t>
            </w:r>
          </w:p>
          <w:p>
            <w:pPr>
              <w:pStyle w:val="Style17"/>
              <w:rPr/>
            </w:pPr>
            <w:r>
              <w:rPr/>
              <w:t xml:space="preserve">              </w:t>
            </w:r>
            <w:r>
              <w:rPr/>
              <w:t>- 2025 – 24 мероприятия,</w:t>
            </w:r>
          </w:p>
          <w:p>
            <w:pPr>
              <w:pStyle w:val="Style17"/>
              <w:rPr/>
            </w:pPr>
            <w:r>
              <w:rPr/>
              <w:t xml:space="preserve">              </w:t>
            </w:r>
            <w:r>
              <w:rPr/>
              <w:t>- 2026 - 25 мероприятия;</w:t>
            </w:r>
          </w:p>
          <w:p>
            <w:pPr>
              <w:pStyle w:val="Style17"/>
              <w:rPr/>
            </w:pPr>
            <w:r>
              <w:rPr/>
              <w:t>- газификация квартир</w:t>
            </w:r>
          </w:p>
          <w:p>
            <w:pPr>
              <w:pStyle w:val="Style17"/>
              <w:rPr/>
            </w:pPr>
            <w:r>
              <w:rPr/>
              <w:t xml:space="preserve">                </w:t>
            </w:r>
            <w:r>
              <w:rPr/>
              <w:t>- 2024 – 187 кв.,</w:t>
            </w:r>
          </w:p>
          <w:p>
            <w:pPr>
              <w:pStyle w:val="Style17"/>
              <w:rPr/>
            </w:pPr>
            <w:r>
              <w:rPr/>
              <w:t xml:space="preserve">                </w:t>
            </w:r>
            <w:r>
              <w:rPr/>
              <w:t>- 2025 – 355 кв.;</w:t>
            </w:r>
          </w:p>
          <w:p>
            <w:pPr>
              <w:pStyle w:val="Style17"/>
              <w:rPr/>
            </w:pPr>
            <w:r>
              <w:rPr/>
              <w:t xml:space="preserve">                </w:t>
            </w:r>
            <w:r>
              <w:rPr/>
              <w:t>- 2026 – 100  кв.,</w:t>
            </w:r>
          </w:p>
          <w:p>
            <w:pPr>
              <w:pStyle w:val="Style17"/>
              <w:rPr/>
            </w:pPr>
            <w:r>
              <w:rPr/>
              <w:t xml:space="preserve">-  повышение уровня газификации домов (квартир) сетевым газом до </w:t>
            </w:r>
          </w:p>
          <w:p>
            <w:pPr>
              <w:pStyle w:val="Style17"/>
              <w:rPr/>
            </w:pPr>
            <w:r>
              <w:rPr/>
              <w:t xml:space="preserve">                </w:t>
            </w:r>
            <w:r>
              <w:rPr/>
              <w:t>- 2024 – 40 %,</w:t>
            </w:r>
          </w:p>
          <w:p>
            <w:pPr>
              <w:pStyle w:val="Style17"/>
              <w:rPr/>
            </w:pPr>
            <w:r>
              <w:rPr/>
              <w:t xml:space="preserve">                </w:t>
            </w:r>
            <w:r>
              <w:rPr/>
              <w:t>- 2025 – 45 %;</w:t>
            </w:r>
          </w:p>
          <w:p>
            <w:pPr>
              <w:pStyle w:val="Style17"/>
              <w:rPr/>
            </w:pPr>
            <w:r>
              <w:rPr/>
              <w:t xml:space="preserve">                </w:t>
            </w:r>
            <w:r>
              <w:rPr/>
              <w:t>- 2026  - 48 %,</w:t>
            </w:r>
          </w:p>
          <w:p>
            <w:pPr>
              <w:pStyle w:val="Style17"/>
              <w:rPr/>
            </w:pPr>
            <w:r>
              <w:rPr/>
              <w:t xml:space="preserve">Повышение уровня обеспеченности контейнерным сбором ТКО до  </w:t>
            </w:r>
          </w:p>
          <w:p>
            <w:pPr>
              <w:pStyle w:val="Style17"/>
              <w:rPr/>
            </w:pPr>
            <w:r>
              <w:rPr/>
              <w:t xml:space="preserve">               </w:t>
            </w:r>
            <w:r>
              <w:rPr/>
              <w:t>- 2024 – 90 %,</w:t>
            </w:r>
          </w:p>
          <w:p>
            <w:pPr>
              <w:pStyle w:val="Style17"/>
              <w:rPr/>
            </w:pPr>
            <w:r>
              <w:rPr/>
              <w:t xml:space="preserve">               </w:t>
            </w:r>
            <w:r>
              <w:rPr/>
              <w:t>- 2025 – 91 %;</w:t>
            </w:r>
          </w:p>
          <w:p>
            <w:pPr>
              <w:pStyle w:val="Style17"/>
              <w:rPr/>
            </w:pPr>
            <w:r>
              <w:rPr/>
              <w:t xml:space="preserve">               </w:t>
            </w:r>
            <w:r>
              <w:rPr/>
              <w:t>- 2026 – 93 %,</w:t>
            </w:r>
          </w:p>
          <w:p>
            <w:pPr>
              <w:pStyle w:val="Style17"/>
              <w:rPr/>
            </w:pPr>
            <w:r>
              <w:rPr/>
              <w:t>Повышение уровня обустройства контейнерных площадок до</w:t>
            </w:r>
          </w:p>
          <w:p>
            <w:pPr>
              <w:pStyle w:val="Style17"/>
              <w:rPr/>
            </w:pPr>
            <w:r>
              <w:rPr/>
              <w:t xml:space="preserve">                 </w:t>
            </w:r>
            <w:r>
              <w:rPr/>
              <w:t>- 2024 – 96 %,</w:t>
            </w:r>
          </w:p>
          <w:p>
            <w:pPr>
              <w:pStyle w:val="Style17"/>
              <w:rPr/>
            </w:pPr>
            <w:r>
              <w:rPr/>
              <w:t xml:space="preserve">                 </w:t>
            </w:r>
            <w:r>
              <w:rPr/>
              <w:t>- 2025 - 97 %;</w:t>
            </w:r>
          </w:p>
          <w:p>
            <w:pPr>
              <w:pStyle w:val="Style17"/>
              <w:rPr/>
            </w:pPr>
            <w:r>
              <w:rPr/>
              <w:t xml:space="preserve">                 </w:t>
            </w:r>
            <w:r>
              <w:rPr/>
              <w:t>- 2026 – 98 %,</w:t>
            </w:r>
          </w:p>
          <w:p>
            <w:pPr>
              <w:pStyle w:val="Style17"/>
              <w:rPr/>
            </w:pPr>
            <w:r>
              <w:rPr/>
              <w:t>Ликвидация несанкционированных свалок отходов</w:t>
            </w:r>
          </w:p>
          <w:p>
            <w:pPr>
              <w:pStyle w:val="Style17"/>
              <w:rPr/>
            </w:pPr>
            <w:r>
              <w:rPr/>
              <w:t xml:space="preserve">                 </w:t>
            </w:r>
            <w:r>
              <w:rPr/>
              <w:t>-2024 – 5 штук,</w:t>
            </w:r>
          </w:p>
          <w:p>
            <w:pPr>
              <w:pStyle w:val="Style17"/>
              <w:rPr/>
            </w:pPr>
            <w:r>
              <w:rPr/>
              <w:t xml:space="preserve">                 </w:t>
            </w:r>
            <w:r>
              <w:rPr/>
              <w:t>-2025 – 5 штук</w:t>
            </w:r>
          </w:p>
          <w:p>
            <w:pPr>
              <w:pStyle w:val="Style17"/>
              <w:rPr/>
            </w:pPr>
            <w:r>
              <w:rPr/>
              <w:t xml:space="preserve">                 </w:t>
            </w:r>
            <w:r>
              <w:rPr/>
              <w:t>-2026 – 5 штук,</w:t>
            </w:r>
          </w:p>
          <w:p>
            <w:pPr>
              <w:pStyle w:val="Style17"/>
              <w:rPr/>
            </w:pPr>
            <w:r>
              <w:rPr/>
              <w:t xml:space="preserve">Переселение граждан из аварийного жилищного фонда </w:t>
            </w:r>
          </w:p>
          <w:p>
            <w:pPr>
              <w:pStyle w:val="Style17"/>
              <w:rPr/>
            </w:pPr>
            <w:r>
              <w:rPr/>
              <w:t xml:space="preserve">                     </w:t>
            </w:r>
            <w:r>
              <w:rPr/>
              <w:t>- 2024 – 0 кв.,</w:t>
            </w:r>
          </w:p>
          <w:p>
            <w:pPr>
              <w:pStyle w:val="Style17"/>
              <w:rPr/>
            </w:pPr>
            <w:r>
              <w:rPr/>
              <w:t xml:space="preserve">                     </w:t>
            </w:r>
            <w:r>
              <w:rPr/>
              <w:t>- 2025 – 0 кв.</w:t>
            </w:r>
          </w:p>
          <w:p>
            <w:pPr>
              <w:pStyle w:val="Style17"/>
              <w:rPr/>
            </w:pPr>
            <w:r>
              <w:rPr/>
              <w:t xml:space="preserve">                     </w:t>
            </w:r>
            <w:r>
              <w:rPr/>
              <w:t>- 2026 - 0 кв.</w:t>
            </w:r>
          </w:p>
          <w:p>
            <w:pPr>
              <w:pStyle w:val="Style17"/>
              <w:rPr/>
            </w:pPr>
            <w:r>
              <w:rPr/>
              <w:t xml:space="preserve">Предоставление молодым семьям, участникам программы, социальных выплат на приобретение жилья эконом - класса или строительство индивидуального жилого дома эконом - класса         </w:t>
            </w:r>
          </w:p>
          <w:p>
            <w:pPr>
              <w:pStyle w:val="Style17"/>
              <w:rPr/>
            </w:pPr>
            <w:r>
              <w:rPr/>
              <w:t xml:space="preserve">                    </w:t>
            </w:r>
            <w:r>
              <w:rPr/>
              <w:t>- 2024 – 2 семьи,</w:t>
            </w:r>
          </w:p>
          <w:p>
            <w:pPr>
              <w:pStyle w:val="Style17"/>
              <w:rPr/>
            </w:pPr>
            <w:r>
              <w:rPr/>
              <w:t xml:space="preserve">                    </w:t>
            </w:r>
            <w:r>
              <w:rPr/>
              <w:t>- 2025 – 2 семьи;</w:t>
            </w:r>
          </w:p>
          <w:p>
            <w:pPr>
              <w:pStyle w:val="Style17"/>
              <w:rPr/>
            </w:pPr>
            <w:r>
              <w:rPr/>
              <w:t xml:space="preserve">                    </w:t>
            </w:r>
            <w:r>
              <w:rPr/>
              <w:t>- 2026 – 2 семьи,</w:t>
            </w:r>
          </w:p>
          <w:p>
            <w:pPr>
              <w:pStyle w:val="Style17"/>
              <w:rPr/>
            </w:pPr>
            <w:r>
              <w:rPr/>
              <w:t>Переселение граждан из жилищного фонда, признанного непригодным для проживания</w:t>
            </w:r>
          </w:p>
          <w:p>
            <w:pPr>
              <w:pStyle w:val="Style17"/>
              <w:rPr/>
            </w:pPr>
            <w:r>
              <w:rPr/>
              <w:t xml:space="preserve">                      </w:t>
            </w:r>
            <w:r>
              <w:rPr/>
              <w:t>- 2024 – 0 кв.,</w:t>
            </w:r>
          </w:p>
          <w:p>
            <w:pPr>
              <w:pStyle w:val="Style17"/>
              <w:rPr/>
            </w:pPr>
            <w:r>
              <w:rPr/>
              <w:t xml:space="preserve">                      </w:t>
            </w:r>
            <w:r>
              <w:rPr/>
              <w:t>- 2025 – 0 кв.</w:t>
            </w:r>
          </w:p>
          <w:p>
            <w:pPr>
              <w:pStyle w:val="Style17"/>
              <w:rPr/>
            </w:pPr>
            <w:r>
              <w:rPr/>
              <w:t xml:space="preserve">                     </w:t>
            </w:r>
            <w:r>
              <w:rPr/>
              <w:t>-  2026 – 0 кв.</w:t>
            </w:r>
          </w:p>
          <w:p>
            <w:pPr>
              <w:pStyle w:val="Style17"/>
              <w:rPr/>
            </w:pPr>
            <w:r>
              <w:rPr/>
              <w:t>Снижение кредиторской задолженности предприятий ЖКХ.</w:t>
            </w:r>
          </w:p>
        </w:tc>
      </w:tr>
      <w:tr>
        <w:trPr>
          <w:trHeight w:val="582" w:hRule="atLeast"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  <w:t>Этапы и сроки реализации Муниципальной программы</w:t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  <w:t>2024 - 2026 годы</w:t>
            </w:r>
          </w:p>
        </w:tc>
      </w:tr>
      <w:tr>
        <w:trPr/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  <w:t>Объемы бюджетных ассигнований Муниципальной программы</w:t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  <w:t>объемы бюджетных ассигнований Муниципальной программы составляют  -  802 621,6  тыс. рублей, в том числе:</w:t>
            </w:r>
          </w:p>
          <w:tbl>
            <w:tblPr>
              <w:tblW w:w="5000" w:type="pct"/>
              <w:jc w:val="left"/>
              <w:tblInd w:w="0" w:type="dxa"/>
              <w:tblCellMar>
                <w:top w:w="0" w:type="dxa"/>
                <w:left w:w="170" w:type="dxa"/>
                <w:bottom w:w="0" w:type="dxa"/>
                <w:right w:w="170" w:type="dxa"/>
              </w:tblCellMar>
              <w:tblLook w:val="04a0"/>
            </w:tblPr>
            <w:tblGrid>
              <w:gridCol w:w="1189"/>
              <w:gridCol w:w="1302"/>
              <w:gridCol w:w="1091"/>
              <w:gridCol w:w="1302"/>
              <w:gridCol w:w="1233"/>
            </w:tblGrid>
            <w:tr>
              <w:trPr/>
              <w:tc>
                <w:tcPr>
                  <w:tcW w:w="11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  <w:t>годы</w:t>
                  </w:r>
                </w:p>
              </w:tc>
              <w:tc>
                <w:tcPr>
                  <w:tcW w:w="492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  <w:t>Объем финансирования</w:t>
                  </w:r>
                </w:p>
              </w:tc>
            </w:tr>
            <w:tr>
              <w:trPr/>
              <w:tc>
                <w:tcPr>
                  <w:tcW w:w="11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</w:r>
                </w:p>
              </w:tc>
              <w:tc>
                <w:tcPr>
                  <w:tcW w:w="13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  <w:t>Всего:</w:t>
                  </w:r>
                </w:p>
              </w:tc>
              <w:tc>
                <w:tcPr>
                  <w:tcW w:w="10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  <w:t>ФБ</w:t>
                  </w:r>
                </w:p>
              </w:tc>
              <w:tc>
                <w:tcPr>
                  <w:tcW w:w="13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  <w:t>ОБ</w:t>
                  </w:r>
                </w:p>
              </w:tc>
              <w:tc>
                <w:tcPr>
                  <w:tcW w:w="1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  <w:t>МБ</w:t>
                  </w:r>
                </w:p>
              </w:tc>
            </w:tr>
            <w:tr>
              <w:trPr/>
              <w:tc>
                <w:tcPr>
                  <w:tcW w:w="11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  <w:t>2024</w:t>
                  </w:r>
                </w:p>
              </w:tc>
              <w:tc>
                <w:tcPr>
                  <w:tcW w:w="13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  <w:t>768 311,6</w:t>
                  </w:r>
                </w:p>
              </w:tc>
              <w:tc>
                <w:tcPr>
                  <w:tcW w:w="10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</w:r>
                </w:p>
              </w:tc>
              <w:tc>
                <w:tcPr>
                  <w:tcW w:w="13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  <w:t>743 931,0</w:t>
                  </w:r>
                </w:p>
              </w:tc>
              <w:tc>
                <w:tcPr>
                  <w:tcW w:w="1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  <w:t>24 380,6</w:t>
                  </w:r>
                </w:p>
              </w:tc>
            </w:tr>
            <w:tr>
              <w:trPr/>
              <w:tc>
                <w:tcPr>
                  <w:tcW w:w="11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  <w:t>2025</w:t>
                  </w:r>
                </w:p>
              </w:tc>
              <w:tc>
                <w:tcPr>
                  <w:tcW w:w="13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  <w:t xml:space="preserve">  </w:t>
                  </w:r>
                  <w:r>
                    <w:rPr/>
                    <w:t>34 310,0</w:t>
                  </w:r>
                </w:p>
              </w:tc>
              <w:tc>
                <w:tcPr>
                  <w:tcW w:w="10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</w:r>
                </w:p>
              </w:tc>
              <w:tc>
                <w:tcPr>
                  <w:tcW w:w="13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  <w:t xml:space="preserve"> </w:t>
                  </w:r>
                  <w:r>
                    <w:rPr/>
                    <w:t>25 483,4</w:t>
                  </w:r>
                </w:p>
              </w:tc>
              <w:tc>
                <w:tcPr>
                  <w:tcW w:w="1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  <w:t xml:space="preserve">  </w:t>
                  </w:r>
                  <w:r>
                    <w:rPr/>
                    <w:t>8 826,6</w:t>
                  </w:r>
                </w:p>
              </w:tc>
            </w:tr>
            <w:tr>
              <w:trPr/>
              <w:tc>
                <w:tcPr>
                  <w:tcW w:w="11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  <w:t>2026</w:t>
                  </w:r>
                </w:p>
              </w:tc>
              <w:tc>
                <w:tcPr>
                  <w:tcW w:w="13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</w:r>
                </w:p>
              </w:tc>
              <w:tc>
                <w:tcPr>
                  <w:tcW w:w="10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</w:r>
                </w:p>
              </w:tc>
              <w:tc>
                <w:tcPr>
                  <w:tcW w:w="13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</w:r>
                </w:p>
              </w:tc>
              <w:tc>
                <w:tcPr>
                  <w:tcW w:w="1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11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  <w:t>Итого:</w:t>
                  </w:r>
                </w:p>
              </w:tc>
              <w:tc>
                <w:tcPr>
                  <w:tcW w:w="13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  <w:t>802 621,6</w:t>
                  </w:r>
                </w:p>
              </w:tc>
              <w:tc>
                <w:tcPr>
                  <w:tcW w:w="10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</w:r>
                </w:p>
              </w:tc>
              <w:tc>
                <w:tcPr>
                  <w:tcW w:w="13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  <w:t>769 414,4</w:t>
                  </w:r>
                </w:p>
              </w:tc>
              <w:tc>
                <w:tcPr>
                  <w:tcW w:w="12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Style17"/>
                    <w:rPr/>
                  </w:pPr>
                  <w:r>
                    <w:rPr/>
                    <w:t>33 207,2</w:t>
                  </w:r>
                </w:p>
              </w:tc>
            </w:tr>
          </w:tbl>
          <w:p>
            <w:pPr>
              <w:pStyle w:val="Style17"/>
              <w:rPr/>
            </w:pPr>
            <w:r>
              <w:rPr/>
            </w:r>
          </w:p>
          <w:p>
            <w:pPr>
              <w:pStyle w:val="Style17"/>
              <w:rPr/>
            </w:pPr>
            <w:r>
              <w:rPr/>
              <w:t>Объемы бюджетных ассигнований уточняются ежегодно при формировании бюджета Аргаяшского муниципального района  на очередной финансовый год и плановый период</w:t>
            </w:r>
          </w:p>
          <w:p>
            <w:pPr>
              <w:pStyle w:val="Style17"/>
              <w:rPr/>
            </w:pPr>
            <w:r>
              <w:rPr/>
            </w:r>
          </w:p>
        </w:tc>
      </w:tr>
      <w:tr>
        <w:trPr/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  <w:t>Ожидаемые результаты реализации Муниципальной программы</w:t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7"/>
              <w:rPr/>
            </w:pPr>
            <w:r>
              <w:rPr/>
              <w:t>Повышение уровня жизни населения на территории Аргаяшского муниципального района</w:t>
            </w:r>
          </w:p>
          <w:p>
            <w:pPr>
              <w:pStyle w:val="Style17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64002"/>
    <w:pPr>
      <w:widowControl/>
      <w:bidi w:val="0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2">
    <w:name w:val="Heading 2"/>
    <w:basedOn w:val="Normal"/>
    <w:next w:val="Normal"/>
    <w:link w:val="20"/>
    <w:qFormat/>
    <w:rsid w:val="00d64002"/>
    <w:pPr>
      <w:keepNext w:val="true"/>
      <w:pageBreakBefore/>
      <w:spacing w:before="120" w:after="360"/>
      <w:jc w:val="center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Normal"/>
    <w:next w:val="Normal"/>
    <w:link w:val="30"/>
    <w:qFormat/>
    <w:rsid w:val="00d64002"/>
    <w:pPr>
      <w:keepNext w:val="true"/>
      <w:spacing w:before="480" w:after="120"/>
      <w:contextualSpacing/>
      <w:jc w:val="center"/>
      <w:outlineLvl w:val="2"/>
    </w:pPr>
    <w:rPr>
      <w:rFonts w:cs="Arial"/>
      <w:b/>
      <w:bCs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link w:val="2"/>
    <w:qFormat/>
    <w:rsid w:val="00d64002"/>
    <w:rPr>
      <w:rFonts w:ascii="Times New Roman" w:hAnsi="Times New Roman" w:eastAsia="Times New Roman" w:cs="Arial"/>
      <w:b/>
      <w:bCs/>
      <w:iCs/>
      <w:sz w:val="24"/>
      <w:szCs w:val="28"/>
      <w:lang w:eastAsia="ru-RU"/>
    </w:rPr>
  </w:style>
  <w:style w:type="character" w:styleId="31" w:customStyle="1">
    <w:name w:val="Заголовок 3 Знак"/>
    <w:basedOn w:val="DefaultParagraphFont"/>
    <w:link w:val="3"/>
    <w:qFormat/>
    <w:rsid w:val="00d64002"/>
    <w:rPr>
      <w:rFonts w:ascii="Times New Roman" w:hAnsi="Times New Roman" w:eastAsia="Times New Roman" w:cs="Arial"/>
      <w:b/>
      <w:bCs/>
      <w:sz w:val="24"/>
      <w:szCs w:val="26"/>
      <w:lang w:eastAsia="ru-RU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ascii="PT Astra Serif" w:hAnsi="PT Astra Serif" w:cs="Noto Sans Devanagari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7" w:customStyle="1">
    <w:name w:val="таблица"/>
    <w:basedOn w:val="Normal"/>
    <w:qFormat/>
    <w:rsid w:val="00d64002"/>
    <w:pPr>
      <w:ind w:hanging="0"/>
      <w:jc w:val="left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LibreOffice/6.4.7.2$Linux_X86_64 LibreOffice_project/40$Build-2</Application>
  <Pages>3</Pages>
  <Words>581</Words>
  <Characters>4218</Characters>
  <CharactersWithSpaces>5290</CharactersWithSpaces>
  <Paragraphs>107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2023-11-03T08:19:00Z</dcterms:created>
  <dc:creator>Давлетов РИ</dc:creator>
  <dc:description/>
  <dc:language>ru-RU</dc:language>
  <cp:lastModifiedBy>Давлетов РИ</cp:lastModifiedBy>
  <dcterms:modified xsi:type="dcterms:W3CDTF">2023-11-03T08:19:00Z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